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Arial" w:hAnsi="Arial" w:eastAsia="Arial" w:cs="Arial"/>
          <w:sz w:val="40"/>
          <w:szCs w:val="40"/>
          <w:b w:val="1"/>
          <w:color w:val="000000"/>
        </w:rPr>
        <w:jc w:val="center"/>
        <w:pStyle w:val="Title"/>
      </w:pPr>
      <w:r>
        <w:rPr>
          <w:rFonts w:ascii="Arial" w:hAnsi="Arial" w:eastAsia="Arial" w:cs="Arial"/>
          <w:sz w:val="40"/>
          <w:szCs w:val="40"/>
          <w:b w:val="1"/>
          <w:color w:val="000000"/>
        </w:rPr>
        <w:t>Series Master Glossary</w:t>
      </w:r>
    </w:p>
    <w:p>
      <w:pPr>
        <w:rPr>
          <w:rFonts w:ascii="Arial" w:hAnsi="Arial" w:eastAsia="Arial" w:cs="Arial"/>
          <w:sz w:val="22"/>
          <w:szCs w:val="22"/>
        </w:rPr>
        <w:jc w:val="center"/>
      </w:pPr>
      <w:r>
        <w:rPr>
          <w:i/>
          <w:rFonts w:ascii="Arial" w:hAnsi="Arial" w:eastAsia="Arial" w:cs="Arial"/>
          <w:sz w:val="22"/>
          <w:szCs w:val="22"/>
        </w:rPr>
        <w:t>Part 1: On the Origin of Life | Controlled vocabulary support document | source-locked | Issue 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7272"/>
        <w:gridCol w:w="7272"/>
      </w:tblGrid>
      <w:tr>
        <w:trPr>
          <w:tblHeader/>
        </w:trPr>
        <w:tc>
          <w:tcPr>
            <w:tcW w:type="dxa" w:w="288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 field</w:t>
            </w:r>
          </w:p>
        </w:tc>
        <w:tc>
          <w:tcPr>
            <w:tcW w:type="dxa" w:w="115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Value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Document ID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OOL-P1-SD02-GLOSSARY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Version / issue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Issue 1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Date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2026-09-22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Final controlled vocabulary support document for Part 1 Issue 1, source-locked to the finalised three-paper set (GOT-V1-1-1 / GOT-V1-1-2 / GOT-V1-1-3), the fixed literal primary-paper heading locators, and final SD-01. Secondary to canonical papers.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Supersedes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Earlier Issue 1 source-lock and numbering-aligned working states. This final Issue 1 release locks the glossary to the paper-complete Part 1 source set and final SD-01; no controlled definition or canonical ownership change is introduced.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Records controlled definitions, canonical homes, relationship notes, and guardrails for major Part 1: On the Origin of Life terms. No new concepts are introduced.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papers govern technical definitions. Paper 1 defines the life discriminator; Paper 2 defines life attribution; Paper 3 defines the attribution procedure.</w:t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Use only the finalised three current Part 1 primary papers and the current SD-01 Concept Compression Map Issue 1 as support-control reference. Primary-paper internal references must use the current literal heading locator map; cited locators omit the terminal display full stop. Do not import exported full-series TEM papers, older EDT files, earlier drafts, superseded support maps, superseded support documents, or prior generated answers as conceptual source material.</w:t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Template rule</w:t>
            </w:r>
          </w:p>
        </w:tc>
        <w:tc>
          <w:tcPr>
            <w:tcW w:type="dxa" w:w="11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old Series Master Glossary document was used for glossary-table formatting, section hierarchy, and control-document discipline only. It is not a conceptual source for this Issue 1 revision.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1. Purpose and canonical use rules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This Series Master Glossary records controlled vocabulary for Part 1: On the Origin of Life. It prevents terminology drift as the life discriminator, attribution architecture, and diagnostic procedure move into support documents, edge-case audits, and later applications.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This document does not introduce new concepts, replace the canonical papers, or re-argue the sequence. It gives a controlled definition, canonical home, relationship note, and guardrail for each major term.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Paper 1 owns physical grounding, TC/NTC distinction, comparator discipline, IPL, DTS, the life discriminator, and the physics-chemistry-life transition framing.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Paper 2 owns the attribution layer: candidate frame, informational regime, maintained boundary, Attribution Locus, DTS completion, continuity, ladder, closure/death, positive exclusion, residual deferral, and topology.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Paper 3 owns the diagnostic sequence, classification output form, closure output form, audit template, exemplar desktop studies, residual inventory, update statements, and guardrails.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A term is permitted only when its discriminator conditions remain visible.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Primary classes, continuity statuses, topology modifiers, closure output, and residual must not be collapsed into one another.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Residual terms hold unresolved attribution remainder; they are not explanations or verdicts.</w:t>
      </w: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0.1 Source-lock register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115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Seq.</w:t>
            </w:r>
          </w:p>
        </w:tc>
        <w:tc>
          <w:tcPr>
            <w:tcW w:type="dxa" w:w="388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Latest source file</w:t>
            </w:r>
          </w:p>
        </w:tc>
        <w:tc>
          <w:tcPr>
            <w:tcW w:type="dxa" w:w="259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paper</w:t>
            </w:r>
          </w:p>
        </w:tc>
        <w:tc>
          <w:tcPr>
            <w:tcW w:type="dxa" w:w="676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ownership / use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GOT-V1-1-1 - On the Origin of Life - Issue 1.docx | sha16 b46a62c660223454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On the Origin of Life</w:t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 grounding; pancomputation discipline; Trivial Computation; Non-Trivial Computation; Nested Multiscale Framework; evaluation conditions; readout and temporal framing; Baseline Dynamics; Information Processing Locus; Driven Thermodynamic System; life as driven thermodynamic constraint-maintenance supported by IPL-mediated NTC; physics-chemistry-life transition.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GOT-V1-1-2 - The Identification of Life - Issue 1.docx | sha16 0f1f564c3786f208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Identification of Life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architecture; candidate frame; reference-indexed attribution; informational regime; life-realisation; maintained boundary; Attribution Locus; DTS completion; organisational identity; intrinsic resumability; potential informational throughput; throughput identity; continuity status; death as branch-closure; closure output; post-death constituent reframing; positive exclusion; residual deferral; relationship topology; formal ladder.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</w:t>
            </w:r>
          </w:p>
        </w:tc>
        <w:tc>
          <w:tcPr>
            <w:tcW w:type="dxa" w:w="388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GOT-V1-1-3 - The Life Attribution Procedure - Issue 1.docx | sha16 6c6d2b60203198e8</w:t>
            </w:r>
          </w:p>
        </w:tc>
        <w:tc>
          <w:tcPr>
            <w:tcW w:type="dxa" w:w="25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Life Attribution Procedure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Diagnostic sequence; reference preflight; candidate framing; life-realisation threshold; Attribution Locus localisation; DTS-completion localisation; identity and continuity determination; primary class assignment or residual deferral; topology assignment; residual inventory and update statement; standard attribution output; closure output form; audit template; exemplar desktop studies; cross-case findings; guardrails and failure modes.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158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 ID</w:t>
            </w:r>
          </w:p>
        </w:tc>
        <w:tc>
          <w:tcPr>
            <w:tcW w:type="dxa" w:w="576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Latest control file</w:t>
            </w:r>
          </w:p>
        </w:tc>
        <w:tc>
          <w:tcPr>
            <w:tcW w:type="dxa" w:w="691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Permitted use</w:t>
            </w:r>
          </w:p>
        </w:tc>
      </w:tr>
      <w:t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SD-01</w:t>
            </w:r>
          </w:p>
        </w:tc>
        <w:tc>
          <w:tcPr>
            <w:tcW w:type="dxa" w:w="57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Concept Compression Map - Issue 1.docx | sha16 a256c5229849f993</w:t>
            </w:r>
          </w:p>
        </w:tc>
        <w:tc>
          <w:tcPr>
            <w:tcW w:type="dxa" w:w="69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Architecture compression and support-stack alignment for the finalised source set. Secondary to the primary papers.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Template-source use: the prior version of this support document was used for formatting, table pattern, section hierarchy, and release-control structure only. It is not a conceptual source for this Issue 1 revision.</w:t>
      </w:r>
    </w:p>
    <w:p>
      <w:pPr>
        <w:rPr>
          <w:rFonts w:ascii="Arial" w:hAnsi="Arial" w:eastAsia="Arial" w:cs="Arial"/>
          <w:sz w:val="22"/>
          <w:szCs w:val="22"/>
        </w:rPr>
        <w:spacing w:after="80" w:line="252" w:lineRule="auto"/>
      </w:pPr>
      <w:r>
        <w:rPr>
          <w:rFonts w:ascii="Arial" w:hAnsi="Arial" w:eastAsia="Arial" w:cs="Arial"/>
          <w:sz w:val="22"/>
          <w:szCs w:val="22"/>
        </w:rPr>
        <w:t>Excluded source class: exported full-series TEM papers and concepts, older project files, earlier EDT documents, superseded support-map wording, superseded support-document wording, and prior generated answers are not conceptual sources for this Issue 1 support set.</w:t>
      </w: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2. Canonical ownership map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3456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paper</w:t>
            </w:r>
          </w:p>
        </w:tc>
        <w:tc>
          <w:tcPr>
            <w:tcW w:type="dxa" w:w="648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region</w:t>
            </w:r>
          </w:p>
        </w:tc>
        <w:tc>
          <w:tcPr>
            <w:tcW w:type="dxa" w:w="446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Guardrail</w:t>
            </w:r>
          </w:p>
        </w:tc>
      </w:tr>
      <w:tr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1 - On The Origin of Life</w:t>
            </w:r>
          </w:p>
        </w:tc>
        <w:tc>
          <w:tcPr>
            <w:tcW w:type="dxa" w:w="64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 grounding, pancomputation discipline, NMF, TC, NTC, BD, IPL, DTS, Living System, life discriminator, and physics-chemistry-life transition.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remains stricter than NTC, complexity, metabolism, reproduction, feedback, adaptation, persistence, or biological familiarity alone.</w:t>
            </w:r>
          </w:p>
        </w:tc>
      </w:tr>
      <w:tr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2 - The Identification of Life</w:t>
            </w:r>
          </w:p>
        </w:tc>
        <w:tc>
          <w:tcPr>
            <w:tcW w:type="dxa" w:w="64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architecture, candidate frame, informational regime, life-realisation, maintained boundary, Attribution Locus, DTS completion, identity, continuity, potential throughput, death/closure, positive exclusion, residual deferral, formal ladder, and topology.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familiar matter-state boundaries, containment, dependence, lineage, topology, or uncertainty as attribution verdicts.</w:t>
            </w:r>
          </w:p>
        </w:tc>
      </w:tr>
      <w:tr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3 - The Life Attribution Procedure</w:t>
            </w:r>
          </w:p>
        </w:tc>
        <w:tc>
          <w:tcPr>
            <w:tcW w:type="dxa" w:w="64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 preflight, diagnostic sequence, classification output form, closure output form, audit template, strength markers, residual inventory, update conditions, exemplar desktop studies, and guardrails.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turn procedure into the phenomenon or reduce the audit sequence to a mechanical checklist.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3. Controlled vocabulary</w:t>
      </w: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A. Physical grounding, computation, and life threshold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Term</w:t>
            </w:r>
          </w:p>
        </w:tc>
        <w:tc>
          <w:tcPr>
            <w:tcW w:type="dxa" w:w="446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definition</w:t>
            </w:r>
          </w:p>
        </w:tc>
        <w:tc>
          <w:tcPr>
            <w:tcW w:type="dxa" w:w="244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home / type</w:t>
            </w:r>
          </w:p>
        </w:tc>
        <w:tc>
          <w:tcPr>
            <w:tcW w:type="dxa" w:w="43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Relationship and guardrail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Pancomputation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View that lawful physical processes can be computationally described under some encoding.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Context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Useful as background only; unrestricted redescription cannot define life.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Trivial Computation (TC)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Lawful physical state evolution redescribable computationally under a chosen encoding.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Computation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Description is not discrimination. TC cannot define life.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Non-Trivial Computation (NTC)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Organisation-dependent, counterfactually testable downstream outcome dependence on discriminable distinctions under specified reference conditions and comparator discipline.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Computation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 NTC without discriminable distinction, downstream dependence, organisation mediation, and BD pressure.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 conditions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Boundary, scale, operational horizon, discrimination/noise regime, comparator assumptions, driving, and component inventory under which a claim is evaluated.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Evaluation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 conditions make claims testable; they do not make claims true.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Readout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Bounded registration of an outcome, trajectory class, trace, measurement, simulation result, or model comparison under finite conditions.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Evaluation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Objectivity is indexed to stable readout pathways, error control, comparator discipline, and reproducibility.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Kinematic Microstate Baseline (KMB)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Universe-level space of all kinematically admissible microstates.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 possibility is not yet organisation-dependent distinction.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 Condition (BC)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Constraint imposed by system/environment delimitation and permitted exchanges.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BC enables system description; it is scale-dependent.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Thermodynamic State Space (TSS)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Coarse-grained thermodynamic macrostate description stable under boundary conditions.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TSS is regime description, not replacement of microphysical admissibility.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Thermodynamic information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Regime in which informational distinctions are tied to physical costs of stability, manipulation, erasure, dissipation, and work coupling.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Distinctions are physically embodied, not immaterial labels.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Emergent Boundary Condition (EBC)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Organisation-generated constraint functioning effectively as a boundary condition for lower-level components.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EBC is generated by organisation; it is not a new substance.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Constrained Thermodynamic State Space (CTSS)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Subset of thermodynamic macrostates and trajectories accessible under emergent boundary conditions and organisational constraints.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CTSS names state-space restriction, not visual complexity.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Constrained Thermodynamic System (CTS)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BC-defined system whose realised trajectory occupies CTSS because of EBC or organisational constraints.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CTS is the system instance; CTSS is the regime descriptor.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Driven Thermodynamic State Space (DTSS)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Thermodynamic regime in which a system is maintained away from equilibrium by sustained energy and/or matter throughput.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DTSS requires driving, not transient constraint alone.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Driven Thermodynamic System (DTS)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BC-defined system whose trajectory is embedded in DTSS and maintained away from equilibrium by sustained driving.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 / Life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DTS is horizon-relative; sustained throughput must be specified.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Shannon Information Theory (SIT)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Regime in which information is discriminable distinctions over a channel relative to alphabet, noise model, and receiver/locus discrimination capacity.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mere difference as information without channel-relative discriminability.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 alphabet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Set of symbol classes induced by physically supported tokenisation at the reference scale.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Alphabet is supported only where classes are stable and reproducible.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Tokenisation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Physically implementable classification rule assigning admissible states or histories to labels under boundary, constraint, driving, and noise conditions.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Grounding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Technical tokenisation is not arbitrary external coding.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Baseline Dynamics (BD)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Intervention-defined comparator family preserving relevant context while disabling the organisation, channel, tokenisation, or pathway under test.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Comparator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BD is not nothing; it is disciplined contrast.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BD-family comparator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Comparator intervention that ablates, scrambles, neutralises, resets, bypass-controls, or otherwise disables the proposed mediating organisation while preserving comparability.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Comparator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Weak comparators let false NTC and life claims survive.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 Processing Locus (IPL)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Organisation whose integrity is required for downstream trajectory selection to depend on the relevant distinction.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Localisation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IPL is not consciousness, cognition, central control, symbolic representation, or the Attribution Locus by default.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Driven thermodynamic constraint-maintenance supported by IPL-mediated NTC.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Life threshold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is stricter than information, NTC, metabolism, reproduction, feedback, persistence, adaptation, or familiarity alone.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Living System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System satisfying the life discriminator over the relevant operational horizon.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Life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life from complexity, activity, or lineage alone.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Physics-chemistry-life transition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Emergent-regime transition in which chemical organisation becomes audit-incomplete without the discriminator question of distinction-conditioned maintenance.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1 | Origin framing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does not leave physics or chemistry; chemistry alone does not settle life-status.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B. Attribution architecture, boundary, locus, and completion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Term</w:t>
            </w:r>
          </w:p>
        </w:tc>
        <w:tc>
          <w:tcPr>
            <w:tcW w:type="dxa" w:w="446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definition</w:t>
            </w:r>
          </w:p>
        </w:tc>
        <w:tc>
          <w:tcPr>
            <w:tcW w:type="dxa" w:w="244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home / type</w:t>
            </w:r>
          </w:p>
        </w:tc>
        <w:tc>
          <w:tcPr>
            <w:tcW w:type="dxa" w:w="43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Relationship and guardrail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Candidate frame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Provisional reference-indexed delimitation of the system, subsystem, process, relation, remnant, or coupled organisation proposed as the site of attribution.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frame states what is being tested; it does not establish the living locus.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Frame correction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Adjustment of the candidate frame when the initial delimitation fails to match the maintained regime, completion relation, or continuity path.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Frame correction is part of attribution, not a procedural defect.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Reference-indexed attribution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specifying locus, boundary, interface, scale, horizon, driving, comparator assumptions, and continuity relation strongly enough for the claim.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disciplined question is alive as what locus, over what horizon, through what boundary.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Positive exclusion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Output stating that a tested relation is not warranted under the stated reference conditions, rather than merely being unknown.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/ 3 | Attribution output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use uncertainty as negative confirmation; distinguish exclusion from residual.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Informational regime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Physically supported organisation in which identity-relevant distinctions are preserved, made operative, resumed, transmitted, completed, or closed under reference conditions.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every describable difference is an informational regime.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Informational regime attribution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Evaluation of the identity-bearing distinctions a candidate preserves and the regime in which those distinctions become operative, resumable, completable, or closed.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Observer-assigned meaning is not enough.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Life-realisation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Actual occurrence of the Paper 1 life relation within a candidate frame as driven constraint-bearing organisation maintained, redirected, or completed through localisable distinction-conditioned organisation.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Threshold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Life-realisation in a frame does not prove the frame itself is the living locus.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Realised informational throughput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Identity-relevant distinctions presently operative in maintenance, redirection, or completion of a life-realising regime.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Throughput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Stored content alone is not realised throughput.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Maintained boundary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Interface through which a life-realising or life-relevant informational regime preserves its organised distinction from what lies outside it.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Boundary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 is functional and informational, not merely a line around matter.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Locus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Operational unit to which a life-relevant regime relation is attributed: active life-realisation, intrinsic resumability, potential throughput, target-locus closure, reconstruction, incorporation, positive exclusion, or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Locus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Attribution Locus is the bearer of attribution; it is not automatically the IPL, visible object, container, genome, or lineage.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Functional sublocus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Component whose organisation contributes to a larger life-realising regime without thereby becoming a life form at the claimed scale.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Locus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Functional necessity is not life-status.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Nested locus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Lower-order locus existing within or participating in a higher-order locus while retaining its own attribution relation.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Locus / topology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Nested attribution does not imply contradiction.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Distributed locus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Locus whose maintained regime depends on spatially extended coupling, scaffolding, or recurrent exchange.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Locus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Distribution raises the burden to specify boundary, completion, and continuity.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DTS completion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Localisation of where the driven thermodynamic system is actually performed, intrinsically resumable, or extrinsically completable as a life-relevant regime.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question is where life-realising informational throughput becomes actual.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Resource dependence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on environmental matter, energy, substrate, or permissive conditions while the candidate organisation performs constitutive maintenance operations.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Resource dependence does not weaken life-status by itself.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Scaffolded support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External support supplying stabilising conditions while the candidate remains the locus whose identity-bearing organisation is maintained.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Artificial support alone does not decide life-status.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Constitutive dependence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in which another organised locus performs operations required to complete the candidate maintenance or throughput relation.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Constitutive dependence changes attribution; it is not an automatic verdict.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Host completion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Extrinsic completion relation in which a host regime makes a candidate throughput operative.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 / potential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Host completion is not free-phase Life.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Coupled completion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Case where no component alone completes the relevant regime but the organised relation between components does.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Completion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Coupling does not automatically establish unity.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Higher-order locus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Coupled organisation that stabilises a maintained regime beyond its participating loci.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Topology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Requires more than interaction or dependence.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C. Identity, continuity, primary ladder, and death/closure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Term</w:t>
            </w:r>
          </w:p>
        </w:tc>
        <w:tc>
          <w:tcPr>
            <w:tcW w:type="dxa" w:w="446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definition</w:t>
            </w:r>
          </w:p>
        </w:tc>
        <w:tc>
          <w:tcPr>
            <w:tcW w:type="dxa" w:w="244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home / type</w:t>
            </w:r>
          </w:p>
        </w:tc>
        <w:tc>
          <w:tcPr>
            <w:tcW w:type="dxa" w:w="43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Relationship and guardrail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Organisational identity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of the maintained organisation by which the same locus remains attributable through change, development, dormancy, repair, transformation, or terminal completion.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Identity is not mere material sameness or name persistence.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Intrinsic resumability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Same-locus capacity by which active life-realisation can resume from a continuity-preserving suspended or dormant condition under permissive conditions.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Intrinsic resumption is not extrinsic reconstruction.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Continuity-preserving suspension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Mode in which active throughput is reduced or suspended while identity-bearing organisation and intrinsic resumability remain preserved.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Suspension does not by itself imply Life-in-Potential or death.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Dormant Life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mode inside Life where active throughput is reduced or suspended but intrinsic same-locus resumability remains preserved.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 / class mode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Dormancy is not Life-in-Potential and not death.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Terminal active Life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mode inside Life where distinction-conditioned organisation is still completing a terminal regime even though future branch-space is narrowing.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 / class mode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Terminality modifies horizon; it does not remove Life before branch closure.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Potential informational throughput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Identity-bearing potential throughput preserved by a non-life-realised organisation into an admissible extrinsic life-realising completion pathway.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Potential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weak life, mere biological material, stored sequence, trigger, or reconstructability.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Throughput identity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of identity-relevant distinctions from a non-life-realised candidate into later extrinsic completion where those distinctions become operative.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Potential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Without throughput identity, Life-in-Potential is not warranted.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Lineage identity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relation of descent, copying, or historical derivation after organisational or throughput identity has been established.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Lineage does not settle present life-status.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status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 of a target locus or throughput relation as active, dormant, terminal active, potential, or closed; uncertain statuses are carried in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/ 3 | Classification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Continuity status must be assigned before primary class closure.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Branch-closure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of all future counterfactual branch-realisation for a target locus as that locus.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Death / closure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 closure applies to the target identity, not every constituent.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/ closed continuity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status of a formerly living target locus whose future counterfactual branch-realisation as that locus has closed.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 status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is not a fourth primary class.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output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output route for death of a formerly living target locus: closed continuity / formerly living target locus / no further same-locus DTS completion / remnant or fragmentation topology /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Output form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output prevents death from entering the primary-class field.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Post-death constituent reframing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Requirement to reframe remaining constituents after target-locus death rather than spreading the same status to all matter inside the former system.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Death / attribution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dead organism may contain living subloci, Life-in-Potential candidates, or Complex Chemistry.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Reconstruction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Cross-locus descriptor for later life-like or life-realising production after identity-bearing continuity has failed.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 descriptor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Reconstruction is not same-locus resumption.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Incorporation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Cross-locus descriptor for material entering another living regime without preserving the prior identity.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Continuity descriptor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Incorporation is not survival.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Complex Chemistry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class where the candidate may be complex, organised, reactive, or biologically related but lacks active life-realisation, intrinsic resumability, and identity-bearing potential throughput.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Primary class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Biological derivation alone does not exceed Complex Chemistry.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Life-in-Potential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class for non-life-realised candidates preserving identity-bearing potential informational throughput into admissible extrinsic life-realising completion.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Primary class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Life-in-Potential is narrow; it is not ordinary potential life.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as primary class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class where the candidate is the Attribution Locus of active or intrinsically resumable regime maintenance.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Primary class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assignment requires correct locus and continuity attribution.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Formal ladder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Three-class ladder: Complex Chemistry, Life-in-Potential, Life.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2 | Classification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Death, reconstruction, incorporation, topology, and uncertainty are not primary classes.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1F4E79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1F4E79"/>
        </w:rPr>
        <w:t>D. Procedure, output form, residual, and audit terms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302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Term</w:t>
            </w:r>
          </w:p>
        </w:tc>
        <w:tc>
          <w:tcPr>
            <w:tcW w:type="dxa" w:w="446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definition</w:t>
            </w:r>
          </w:p>
        </w:tc>
        <w:tc>
          <w:tcPr>
            <w:tcW w:type="dxa" w:w="2448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Canonical home / type</w:t>
            </w:r>
          </w:p>
        </w:tc>
        <w:tc>
          <w:tcPr>
            <w:tcW w:type="dxa" w:w="432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Relationship and guardrail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Attribution Procedure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Diagnostic expression of the attribution canon, moving from frame to relation, locus, completion, continuity, class, topology, residual, and update.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Procedure applies the canon; it does not add a new life theory.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Reference preflight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0 of the procedure: states candidate, scale, boundary, horizon, interface, driving, discrimination/noise regime, comparator assumptions, and continuity question.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Without preflight, classification drifts between scales and horizons.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Candidate framing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1 of the procedure: states what is being tested and permits later frame correction.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frame is not the answer.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Life-realisation threshold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2 of the procedure: tests driven constraint-bearing regime, operative distinction, and maintenance relevance.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Failure of present life-realisation does not end the audit.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Locus localisation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3 of the procedure: identifies the bearer of the regime relation under evaluation.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inside a frame is not Life of the frame.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DTS-completion localisation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4 of the procedure: identifies where the life-realising, resumable, or potential completion relation is performed.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Dependence is too coarse; completion must be localised.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Identity and continuity determination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5 of the procedure: determines whether identity-bearing throughput is active, dormant, terminal active, potential, closed, or uncertain with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Dormancy, potential, closure, reconstruction, and incorporation must not be collapsed.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class assignment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6 output where Complex Chemistry, Life-in-Potential, or Life is assigned after preceding burdens are met.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Death, topology, and uncertainty must not enter the primary ladder.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Primary-class deferral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result where primary-class assignment would overstate support and the class field is withheld with residual and update condition.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Output form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Deferral is not a fourth ladder value.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Topology and relationship assignment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Stage 7 output describing relations among already-attributed loci.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Procedure stage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Topology follows attribution; it is not a verdict.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Standard attribution output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Output form: primary class or residual deferral / continuity status / attributed locus / DTS-completion relation / topology or relationship modifier /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Output form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fields prevent a naked noun from replacing the attribution relation.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Disciplined remainder identifying the local missing discriminator condition and update condition.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Residual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is not a class, continuity status, topology modifier, explanation, or hidden verdict.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inventory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List of residual types by missing discriminator condition: frame, reference condition, threshold, operative distinction, comparator, Attribution Locus, DTS completion, continuity, throughput identity, closure, topology, or constituent audit.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Residual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Inventory prevents uncertainty from becoming a hidden class.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Update condition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Observation, intervention, comparator result, continuity demonstration, or completion-path demonstration that would change the attribution.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Residual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Every residual requires an update condition.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Strength marker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Optional marker such as strong, provisional, weak, or primary-class deferral summarising support without replacing residual.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Output form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Strength markers must not create false precision.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Exemplar desktop study</w:t>
            </w:r>
          </w:p>
        </w:tc>
        <w:tc>
          <w:tcPr>
            <w:tcW w:type="dxa" w:w="446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Stylised application of the procedure to an edge-case candidate frame rather than a final empirical verdict for all instances of a named category.</w:t>
            </w:r>
          </w:p>
        </w:tc>
        <w:tc>
          <w:tcPr>
            <w:tcW w:type="dxa" w:w="24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Paper 3 | Edge-case discipline</w:t>
            </w:r>
          </w:p>
        </w:tc>
        <w:tc>
          <w:tcPr>
            <w:tcW w:type="dxa" w:w="43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Examples are conditional on reference frame, scale, horizon, and comparator assumptions.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4. Misuse compression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4848"/>
        <w:gridCol w:w="4848"/>
        <w:gridCol w:w="4848"/>
      </w:tblGrid>
      <w:tr>
        <w:trPr>
          <w:tblHeader/>
        </w:trPr>
        <w:tc>
          <w:tcPr>
            <w:tcW w:type="dxa" w:w="4031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Misuse</w:t>
            </w:r>
          </w:p>
        </w:tc>
        <w:tc>
          <w:tcPr>
            <w:tcW w:type="dxa" w:w="518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Why it fails</w:t>
            </w:r>
          </w:p>
        </w:tc>
        <w:tc>
          <w:tcPr>
            <w:tcW w:type="dxa" w:w="5184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Controlled correction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= complexity / metabolism / reproduction / adaptation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These may be cues or mechanisms but do not state the discriminator.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driven constraint-maintenance supported by IPL-mediated NTC.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 inside frame = Life of frame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frame may contain a life-realising locus without being the locus.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the Attribution Locus before primary class.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Dormant = Life-in-Potential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Dormancy preserves intrinsic same-locus resumability.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Life with dormant continuity where intrinsic resumability remains open.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= fourth class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Death closes a formerly living target locus; it does not classify all remnants.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closure output and reframe constituents.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Potential = any stored sequence or biological material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Life-in-Potential requires throughput identity into admissible extrinsic completion.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identity-bearing potential informational throughput.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Uncertain = unresolved verdict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Uncertainty is not a canonical field value except as a field condition carried in residual.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the missing discriminator condition and update condition.</w:t>
            </w:r>
          </w:p>
        </w:tc>
      </w:tr>
      <w:tr>
        <w:tc>
          <w:tcPr>
            <w:tcW w:type="dxa" w:w="403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Positive exclusion = uncertainty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relation can be excluded under stated conditions without every broader question being solved.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positive exclusion from residual deferral.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5. Change log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636"/>
        <w:gridCol w:w="3636"/>
        <w:gridCol w:w="3636"/>
        <w:gridCol w:w="3636"/>
      </w:tblGrid>
      <w:tr>
        <w:trPr>
          <w:tblHeader/>
        </w:trPr>
        <w:tc>
          <w:tcPr>
            <w:tcW w:type="dxa" w:w="115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Issue</w:t>
            </w:r>
          </w:p>
        </w:tc>
        <w:tc>
          <w:tcPr>
            <w:tcW w:type="dxa" w:w="1440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Date</w:t>
            </w:r>
          </w:p>
        </w:tc>
        <w:tc>
          <w:tcPr>
            <w:tcW w:type="dxa" w:w="9792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Change</w:t>
            </w:r>
          </w:p>
        </w:tc>
        <w:tc>
          <w:tcPr>
            <w:tcW w:type="dxa" w:w="2015"/>
            <w:vAlign w:val="top"/>
            <w:shd w:fill="D9EAF7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  <w:b w:val="1"/>
              </w:rPr>
            </w:r>
            <w:r>
              <w:rPr>
                <w:rFonts w:ascii="Arial" w:hAnsi="Arial" w:eastAsia="Arial" w:cs="Arial"/>
                <w:sz w:val="20"/>
                <w:szCs w:val="20"/>
                <w:b w:val="1"/>
              </w:rPr>
              <w:t>Authority</w:t>
            </w:r>
          </w:p>
        </w:tc>
      </w:tr>
      <w:tr>
        <w:tc>
          <w:tcPr>
            <w:tcW w:type="dxa" w:w="115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Issue 1</w:t>
            </w:r>
          </w:p>
        </w:tc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2026-09-22</w:t>
            </w:r>
          </w:p>
        </w:tc>
        <w:tc>
          <w:tcPr>
            <w:tcW w:type="dxa" w:w="979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Final Issue 1 source-lock release aligned to the fixed literal heading locators, the recorded final filenames and hashes for GOT-V1-1-1, GOT-V1-1-2, and GOT-V1-1-3, and final SD-01. Controlled definitions, terminology, and canonical ownership remain unchanged.</w:t>
            </w:r>
          </w:p>
        </w:tc>
        <w:tc>
          <w:tcPr>
            <w:tcW w:type="dxa" w:w="20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  <w:spacing w:after="0"/>
              <w:jc w:val="left"/>
            </w:pPr>
            <w:r>
              <w:rPr>
                <w:rFonts w:ascii="Arial" w:hAnsi="Arial" w:eastAsia="Arial" w:cs="Arial"/>
                <w:sz w:val="20"/>
                <w:szCs w:val="20"/>
              </w:rPr>
              <w:t>Finalised source-locked Part 1 primary/support set, Issue 1.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1F4E79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1F4E79"/>
        </w:rPr>
        <w:t>6. Release/revision checklist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each term remain tied to a canonical home?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every compressed definition preserve the discriminator conditions?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the glossary distinguish IPL from Attribution Locus?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Life-in-Potential remain narrower than ordinary potential life?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Are death/closure, reconstruction, incorporation, topology, and uncertainty excluded from the primary ladder?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Are positive exclusion and residual deferral separated?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every residual term require a local missing condition and update condition?</w:t>
      </w:r>
    </w:p>
    <w:p>
      <w:pPr>
        <w:rPr>
          <w:rFonts w:ascii="Arial" w:hAnsi="Arial" w:eastAsia="Arial" w:cs="Arial"/>
          <w:sz w:val="22"/>
          <w:szCs w:val="22"/>
        </w:rPr>
        <w:pStyle w:val="ListBullet"/>
        <w:spacing w:after="20"/>
      </w:pPr>
      <w:r>
        <w:rPr>
          <w:rFonts w:ascii="Arial" w:hAnsi="Arial" w:eastAsia="Arial" w:cs="Arial"/>
          <w:sz w:val="22"/>
          <w:szCs w:val="22"/>
        </w:rPr>
        <w:t>Does the glossary avoid importing exported full-series TEM terms?</w:t>
      </w: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  <w:szCs w:val="18"/>
      </w:rPr>
    </w:r>
    <w:r>
      <w:rPr>
        <w:rFonts w:ascii="Arial" w:hAnsi="Arial" w:eastAsia="Arial" w:cs="Arial"/>
        <w:sz w:val="18"/>
        <w:szCs w:val="18"/>
      </w:rPr>
      <w:t>Secondary to canonical papers. Primary papers govern technical use.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 w:eastAsia="Arial" w:cs="Arial"/>
        <w:sz w:val="18"/>
        <w:szCs w:val="18"/>
      </w:rPr>
    </w:r>
    <w:r>
      <w:rPr>
        <w:rFonts w:ascii="Arial" w:hAnsi="Arial" w:eastAsia="Arial" w:cs="Arial"/>
        <w:sz w:val="18"/>
        <w:szCs w:val="18"/>
      </w:rPr>
      <w:t>Part 1: On the Origin of Life | OOL-P1-SD02-GLOSSARY | Issue 1 | Source-locked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2"/>
      <w:szCs w:val="22"/>
    </w:rPr>
  </w:style>
  <w:style w:type="paragraph" w:styleId="Header">
    <w:rPr>
      <w:rFonts w:ascii="Arial" w:hAnsi="Arial" w:eastAsia="Arial" w:cs="Arial"/>
      <w:sz w:val="18"/>
      <w:szCs w:val="18"/>
    </w:rPr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rPr>
      <w:rFonts w:ascii="Arial" w:hAnsi="Arial" w:eastAsia="Arial" w:cs="Arial"/>
      <w:sz w:val="22"/>
      <w:szCs w:val="22"/>
    </w:rPr>
    <w:name w:val="Header Char"/>
    <w:basedOn w:val="DefaultParagraphFont"/>
    <w:link w:val="Header"/>
    <w:uiPriority w:val="99"/>
    <w:rsid w:val="00E618BF"/>
  </w:style>
  <w:style w:type="paragraph" w:styleId="Footer">
    <w:rPr>
      <w:rFonts w:ascii="Arial" w:hAnsi="Arial" w:eastAsia="Arial" w:cs="Arial"/>
      <w:sz w:val="18"/>
      <w:szCs w:val="18"/>
    </w:rPr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rPr>
      <w:rFonts w:ascii="Arial" w:hAnsi="Arial" w:eastAsia="Arial" w:cs="Arial"/>
      <w:sz w:val="22"/>
      <w:szCs w:val="22"/>
    </w:rPr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1F4E79"/>
      <w:rFonts w:ascii="Arial" w:hAnsi="Arial" w:eastAsia="Arial" w:cs="Arial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1F4E79"/>
      <w:rFonts w:ascii="Arial" w:hAnsi="Arial" w:eastAsia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1F4E79"/>
      <w:rFonts w:ascii="Arial" w:hAnsi="Arial" w:eastAsia="Arial" w:cs="Arial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rFonts w:ascii="Arial" w:hAnsi="Arial" w:eastAsia="Arial" w:cs="Arial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default="1" w:styleId="DefaultParagraphFont">
    <w:rPr>
      <w:rFonts w:ascii="Arial" w:hAnsi="Arial" w:eastAsia="Arial" w:cs="Arial"/>
      <w:sz w:val="22"/>
      <w:szCs w:val="22"/>
    </w:rPr>
    <w:name w:val="Default Paragraph Font"/>
    <w:uiPriority w:val="1"/>
    <w:semiHidden/>
    <w:unhideWhenUsed/>
  </w:style>
  <w:style w:type="table" w:default="1" w:styleId="TableNormal">
    <w:rPr>
      <w:rFonts w:ascii="Arial" w:hAnsi="Arial" w:eastAsia="Arial" w:cs="Arial"/>
      <w:sz w:val="22"/>
      <w:szCs w:val="22"/>
    </w:rPr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rPr>
      <w:rFonts w:ascii="Arial" w:hAnsi="Arial" w:eastAsia="Arial" w:cs="Arial"/>
      <w:sz w:val="22"/>
      <w:szCs w:val="22"/>
    </w:rPr>
    <w:name w:val="No List"/>
    <w:uiPriority w:val="99"/>
    <w:semiHidden/>
    <w:unhideWhenUsed/>
  </w:style>
  <w:style w:type="paragraph" w:styleId="NoSpacing">
    <w:rPr>
      <w:rFonts w:ascii="Arial" w:hAnsi="Arial" w:eastAsia="Arial" w:cs="Arial"/>
      <w:sz w:val="22"/>
      <w:szCs w:val="22"/>
    </w:rPr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365F91" w:themeColor="accent1" w:themeShade="BF"/>
      <w:rFonts w:ascii="Arial" w:hAnsi="Arial" w:eastAsia="Arial" w:cs="Arial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rFonts w:ascii="Arial" w:hAnsi="Arial" w:eastAsia="Arial" w:cs="Arial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17365D" w:themeColor="text2" w:themeShade="BF"/>
      <w:spacing w:val="5"/>
      <w:kern w:val="28"/>
      <w:rFonts w:ascii="Arial" w:hAnsi="Arial" w:eastAsia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paragraph" w:styleId="ListParagraph">
    <w:rPr>
      <w:rFonts w:ascii="Arial" w:hAnsi="Arial" w:eastAsia="Arial" w:cs="Arial"/>
      <w:sz w:val="22"/>
      <w:szCs w:val="22"/>
    </w:rPr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rPr>
      <w:rFonts w:ascii="Arial" w:hAnsi="Arial" w:eastAsia="Arial" w:cs="Arial"/>
      <w:sz w:val="22"/>
      <w:szCs w:val="22"/>
    </w:rPr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rPr>
      <w:rFonts w:ascii="Arial" w:hAnsi="Arial" w:eastAsia="Arial" w:cs="Arial"/>
      <w:sz w:val="22"/>
      <w:szCs w:val="22"/>
    </w:rPr>
    <w:name w:val="Body Text Char"/>
    <w:basedOn w:val="DefaultParagraphFont"/>
    <w:link w:val="BodyText"/>
    <w:uiPriority w:val="99"/>
    <w:rsid w:val="00AA1D8D"/>
  </w:style>
  <w:style w:type="paragraph" w:styleId="BodyText2">
    <w:rPr>
      <w:rFonts w:ascii="Arial" w:hAnsi="Arial" w:eastAsia="Arial" w:cs="Arial"/>
      <w:sz w:val="22"/>
      <w:szCs w:val="22"/>
    </w:rPr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rPr>
      <w:rFonts w:ascii="Arial" w:hAnsi="Arial" w:eastAsia="Arial" w:cs="Arial"/>
      <w:sz w:val="22"/>
      <w:szCs w:val="22"/>
    </w:rPr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2"/>
      <w:szCs w:val="22"/>
    </w:rPr>
  </w:style>
  <w:style w:type="paragraph" w:styleId="List">
    <w:rPr>
      <w:rFonts w:ascii="Arial" w:hAnsi="Arial" w:eastAsia="Arial" w:cs="Arial"/>
      <w:sz w:val="22"/>
      <w:szCs w:val="22"/>
    </w:rPr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rPr>
      <w:rFonts w:ascii="Arial" w:hAnsi="Arial" w:eastAsia="Arial" w:cs="Arial"/>
      <w:sz w:val="22"/>
      <w:szCs w:val="22"/>
    </w:rPr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rPr>
      <w:rFonts w:ascii="Arial" w:hAnsi="Arial" w:eastAsia="Arial" w:cs="Arial"/>
      <w:sz w:val="22"/>
      <w:szCs w:val="22"/>
    </w:rPr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rPr>
      <w:rFonts w:ascii="Arial" w:hAnsi="Arial" w:eastAsia="Arial" w:cs="Arial"/>
      <w:sz w:val="22"/>
      <w:szCs w:val="22"/>
    </w:rPr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rPr>
      <w:rFonts w:ascii="Arial" w:hAnsi="Arial" w:eastAsia="Arial" w:cs="Arial"/>
      <w:sz w:val="22"/>
      <w:szCs w:val="22"/>
    </w:rPr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rPr>
      <w:rFonts w:ascii="Arial" w:hAnsi="Arial" w:eastAsia="Arial" w:cs="Arial"/>
      <w:sz w:val="22"/>
      <w:szCs w:val="22"/>
    </w:rPr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rPr>
      <w:rFonts w:ascii="Arial" w:hAnsi="Arial" w:eastAsia="Arial" w:cs="Arial"/>
      <w:sz w:val="22"/>
      <w:szCs w:val="22"/>
    </w:rPr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rPr>
      <w:rFonts w:ascii="Arial" w:hAnsi="Arial" w:eastAsia="Arial" w:cs="Arial"/>
      <w:sz w:val="22"/>
      <w:szCs w:val="22"/>
    </w:rPr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rPr>
      <w:rFonts w:ascii="Arial" w:hAnsi="Arial" w:eastAsia="Arial" w:cs="Arial"/>
      <w:sz w:val="22"/>
      <w:szCs w:val="22"/>
    </w:rPr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rPr>
      <w:rFonts w:ascii="Arial" w:hAnsi="Arial" w:eastAsia="Arial" w:cs="Arial"/>
      <w:sz w:val="22"/>
      <w:szCs w:val="22"/>
    </w:rPr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rPr>
      <w:rFonts w:ascii="Arial" w:hAnsi="Arial" w:eastAsia="Arial" w:cs="Arial"/>
      <w:sz w:val="22"/>
      <w:szCs w:val="22"/>
    </w:rPr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rPr>
      <w:rFonts w:ascii="Arial" w:hAnsi="Arial" w:eastAsia="Arial" w:cs="Arial"/>
      <w:sz w:val="22"/>
      <w:szCs w:val="22"/>
    </w:rPr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Arial" w:hAnsi="Arial" w:eastAsia="Arial" w:cs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Arial" w:hAnsi="Arial" w:eastAsia="Arial" w:cs="Arial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Arial" w:hAnsi="Arial" w:eastAsia="Arial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Arial" w:hAnsi="Arial" w:eastAsia="Arial" w:cs="Arial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Arial" w:hAnsi="Arial" w:eastAsia="Arial" w:cs="Arial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Arial" w:hAnsi="Arial" w:eastAsia="Arial" w:cs="Arial"/>
      <w:sz w:val="22"/>
      <w:szCs w:val="22"/>
    </w:rPr>
  </w:style>
  <w:style w:type="paragraph" w:styleId="TOCHeading">
    <w:rPr>
      <w:rFonts w:ascii="Arial" w:hAnsi="Arial" w:eastAsia="Arial" w:cs="Arial"/>
      <w:sz w:val="22"/>
      <w:szCs w:val="22"/>
    </w:rPr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rPr>
      <w:rFonts w:ascii="Arial" w:hAnsi="Arial" w:eastAsia="Arial" w:cs="Arial"/>
      <w:sz w:val="22"/>
      <w:szCs w:val="22"/>
    </w:rPr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rPr>
      <w:rFonts w:ascii="Arial" w:hAnsi="Arial" w:eastAsia="Arial" w:cs="Arial"/>
      <w:sz w:val="22"/>
      <w:szCs w:val="22"/>
    </w:rPr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rPr>
      <w:rFonts w:ascii="Arial" w:hAnsi="Arial" w:eastAsia="Arial" w:cs="Arial"/>
      <w:sz w:val="22"/>
      <w:szCs w:val="22"/>
    </w:rPr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rPr>
      <w:rFonts w:ascii="Arial" w:hAnsi="Arial" w:eastAsia="Arial" w:cs="Arial"/>
      <w:sz w:val="22"/>
      <w:szCs w:val="22"/>
    </w:rPr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rPr>
      <w:rFonts w:ascii="Arial" w:hAnsi="Arial" w:eastAsia="Arial" w:cs="Arial"/>
      <w:sz w:val="22"/>
      <w:szCs w:val="22"/>
    </w:rPr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rPr>
      <w:rFonts w:ascii="Arial" w:hAnsi="Arial" w:eastAsia="Arial" w:cs="Arial"/>
      <w:sz w:val="22"/>
      <w:szCs w:val="22"/>
    </w:rPr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rPr>
      <w:rFonts w:ascii="Arial" w:hAnsi="Arial" w:eastAsia="Arial" w:cs="Arial"/>
      <w:sz w:val="22"/>
      <w:szCs w:val="22"/>
    </w:rPr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rPr>
      <w:rFonts w:ascii="Arial" w:hAnsi="Arial" w:eastAsia="Arial" w:cs="Arial"/>
      <w:sz w:val="22"/>
      <w:szCs w:val="22"/>
    </w:rPr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rPr>
      <w:rFonts w:ascii="Arial" w:hAnsi="Arial" w:eastAsia="Arial" w:cs="Arial"/>
      <w:sz w:val="22"/>
      <w:szCs w:val="22"/>
    </w:rPr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rPr>
      <w:rFonts w:ascii="Arial" w:hAnsi="Arial" w:eastAsia="Arial" w:cs="Arial"/>
      <w:sz w:val="22"/>
      <w:szCs w:val="22"/>
    </w:rPr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rPr>
      <w:rFonts w:ascii="Arial" w:hAnsi="Arial" w:eastAsia="Arial" w:cs="Arial"/>
      <w:sz w:val="22"/>
      <w:szCs w:val="22"/>
    </w:rPr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rPr>
      <w:rFonts w:ascii="Arial" w:hAnsi="Arial" w:eastAsia="Arial" w:cs="Arial"/>
      <w:sz w:val="22"/>
      <w:szCs w:val="22"/>
    </w:rPr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rPr>
      <w:rFonts w:ascii="Arial" w:hAnsi="Arial" w:eastAsia="Arial" w:cs="Arial"/>
      <w:sz w:val="22"/>
      <w:szCs w:val="22"/>
    </w:rPr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rPr>
      <w:rFonts w:ascii="Arial" w:hAnsi="Arial" w:eastAsia="Arial" w:cs="Arial"/>
      <w:sz w:val="22"/>
      <w:szCs w:val="22"/>
    </w:rPr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rPr>
      <w:rFonts w:ascii="Arial" w:hAnsi="Arial" w:eastAsia="Arial" w:cs="Arial"/>
      <w:sz w:val="22"/>
      <w:szCs w:val="22"/>
    </w:rPr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rPr>
      <w:rFonts w:ascii="Arial" w:hAnsi="Arial" w:eastAsia="Arial" w:cs="Arial"/>
      <w:sz w:val="22"/>
      <w:szCs w:val="22"/>
    </w:rPr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rPr>
      <w:rFonts w:ascii="Arial" w:hAnsi="Arial" w:eastAsia="Arial" w:cs="Arial"/>
      <w:sz w:val="22"/>
      <w:szCs w:val="22"/>
    </w:rPr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rPr>
      <w:rFonts w:ascii="Arial" w:hAnsi="Arial" w:eastAsia="Arial" w:cs="Arial"/>
      <w:sz w:val="22"/>
      <w:szCs w:val="22"/>
    </w:rPr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rPr>
      <w:rFonts w:ascii="Arial" w:hAnsi="Arial" w:eastAsia="Arial" w:cs="Arial"/>
      <w:sz w:val="22"/>
      <w:szCs w:val="22"/>
    </w:rPr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rPr>
      <w:rFonts w:ascii="Arial" w:hAnsi="Arial" w:eastAsia="Arial" w:cs="Arial"/>
      <w:sz w:val="22"/>
      <w:szCs w:val="22"/>
    </w:rPr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rPr>
      <w:rFonts w:ascii="Arial" w:hAnsi="Arial" w:eastAsia="Arial" w:cs="Arial"/>
      <w:sz w:val="22"/>
      <w:szCs w:val="22"/>
    </w:rPr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rPr>
      <w:rFonts w:ascii="Arial" w:hAnsi="Arial" w:eastAsia="Arial" w:cs="Arial"/>
      <w:sz w:val="22"/>
      <w:szCs w:val="22"/>
    </w:rPr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rPr>
      <w:rFonts w:ascii="Arial" w:hAnsi="Arial" w:eastAsia="Arial" w:cs="Arial"/>
      <w:sz w:val="22"/>
      <w:szCs w:val="22"/>
    </w:rPr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rPr>
      <w:rFonts w:ascii="Arial" w:hAnsi="Arial" w:eastAsia="Arial" w:cs="Arial"/>
      <w:sz w:val="22"/>
      <w:szCs w:val="22"/>
    </w:rPr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rPr>
      <w:rFonts w:ascii="Arial" w:hAnsi="Arial" w:eastAsia="Arial" w:cs="Arial"/>
      <w:sz w:val="22"/>
      <w:szCs w:val="22"/>
    </w:rPr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rPr>
      <w:rFonts w:ascii="Arial" w:hAnsi="Arial" w:eastAsia="Arial" w:cs="Arial"/>
      <w:sz w:val="22"/>
      <w:szCs w:val="22"/>
    </w:rPr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rPr>
      <w:rFonts w:ascii="Arial" w:hAnsi="Arial" w:eastAsia="Arial" w:cs="Arial"/>
      <w:sz w:val="22"/>
      <w:szCs w:val="22"/>
    </w:rPr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rPr>
      <w:rFonts w:ascii="Arial" w:hAnsi="Arial" w:eastAsia="Arial" w:cs="Arial"/>
      <w:sz w:val="22"/>
      <w:szCs w:val="22"/>
    </w:rPr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rPr>
      <w:rFonts w:ascii="Arial" w:hAnsi="Arial" w:eastAsia="Arial" w:cs="Arial"/>
      <w:sz w:val="22"/>
      <w:szCs w:val="22"/>
    </w:rPr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rPr>
      <w:rFonts w:ascii="Arial" w:hAnsi="Arial" w:eastAsia="Arial" w:cs="Arial"/>
      <w:sz w:val="22"/>
      <w:szCs w:val="22"/>
    </w:rPr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rPr>
      <w:rFonts w:ascii="Arial" w:hAnsi="Arial" w:eastAsia="Arial" w:cs="Arial"/>
      <w:sz w:val="22"/>
      <w:szCs w:val="22"/>
    </w:rPr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rPr>
      <w:rFonts w:ascii="Arial" w:hAnsi="Arial" w:eastAsia="Arial" w:cs="Arial"/>
      <w:sz w:val="22"/>
      <w:szCs w:val="22"/>
    </w:rPr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rPr>
      <w:rFonts w:ascii="Arial" w:hAnsi="Arial" w:eastAsia="Arial" w:cs="Arial"/>
      <w:sz w:val="22"/>
      <w:szCs w:val="22"/>
    </w:rPr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rPr>
      <w:rFonts w:ascii="Arial" w:hAnsi="Arial" w:eastAsia="Arial" w:cs="Arial"/>
      <w:sz w:val="22"/>
      <w:szCs w:val="22"/>
    </w:rPr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rPr>
      <w:rFonts w:ascii="Arial" w:hAnsi="Arial" w:eastAsia="Arial" w:cs="Arial"/>
      <w:sz w:val="22"/>
      <w:szCs w:val="22"/>
    </w:rPr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rPr>
      <w:rFonts w:ascii="Arial" w:hAnsi="Arial" w:eastAsia="Arial" w:cs="Arial"/>
      <w:sz w:val="22"/>
      <w:szCs w:val="22"/>
    </w:rPr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rPr>
      <w:rFonts w:ascii="Arial" w:hAnsi="Arial" w:eastAsia="Arial" w:cs="Arial"/>
      <w:sz w:val="22"/>
      <w:szCs w:val="22"/>
    </w:rPr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rPr>
      <w:rFonts w:ascii="Arial" w:hAnsi="Arial" w:eastAsia="Arial" w:cs="Arial"/>
      <w:sz w:val="22"/>
      <w:szCs w:val="22"/>
    </w:rPr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rPr>
      <w:rFonts w:ascii="Arial" w:hAnsi="Arial" w:eastAsia="Arial" w:cs="Arial"/>
      <w:sz w:val="22"/>
      <w:szCs w:val="22"/>
    </w:rPr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rPr>
      <w:rFonts w:ascii="Arial" w:hAnsi="Arial" w:eastAsia="Arial" w:cs="Arial"/>
      <w:sz w:val="22"/>
      <w:szCs w:val="22"/>
    </w:rPr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rPr>
      <w:rFonts w:ascii="Arial" w:hAnsi="Arial" w:eastAsia="Arial" w:cs="Arial"/>
      <w:sz w:val="22"/>
      <w:szCs w:val="22"/>
    </w:rPr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rPr>
      <w:rFonts w:ascii="Arial" w:hAnsi="Arial" w:eastAsia="Arial" w:cs="Arial"/>
      <w:sz w:val="22"/>
      <w:szCs w:val="22"/>
    </w:rPr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rPr>
      <w:rFonts w:ascii="Arial" w:hAnsi="Arial" w:eastAsia="Arial" w:cs="Arial"/>
      <w:sz w:val="22"/>
      <w:szCs w:val="22"/>
    </w:rPr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1: On the Origin of Life - Series Master Glossary - Issue 1</dc:title>
  <dc:subject>Controlled vocabulary support document aligned to Paper 1 FD14, Paper 2 v17, Paper 3 v14, and SD-01 Issue 1.</dc:subject>
  <dc:creator>OpenAI</dc:creator>
  <cp:keywords/>
  <dc:description>Generated from finalised Part 1 primary source papers and SD-01 Issue 1; old document used as formatting template only.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